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left"/>
        <w:rPr>
          <w:rFonts w:ascii="Times New Roman" w:eastAsia="方正黑体_GBK" w:cs="Times New Roman" w:hAnsi="Times New Roman"/>
          <w:sz w:val="32"/>
          <w:szCs w:val="32"/>
        </w:rPr>
      </w:pPr>
      <w:r>
        <w:rPr>
          <w:rFonts w:ascii="Times New Roman" w:eastAsia="方正黑体_GBK" w:cs="Times New Roman" w:hAnsi="Times New Roman" w:hint="eastAsia"/>
          <w:sz w:val="32"/>
          <w:szCs w:val="32"/>
        </w:rPr>
        <w:t>附件</w:t>
      </w:r>
      <w:r>
        <w:rPr>
          <w:rFonts w:ascii="Times New Roman" w:eastAsia="方正黑体_GBK" w:cs="Times New Roman" w:hAnsi="Times New Roman"/>
          <w:sz w:val="32"/>
          <w:szCs w:val="32"/>
        </w:rPr>
        <w:t>9</w:t>
      </w:r>
      <w:bookmarkStart w:id="0" w:name="_GoBack"/>
      <w:bookmarkEnd w:id="0"/>
    </w:p>
    <w:p>
      <w:pPr>
        <w:widowControl/>
        <w:spacing w:line="560" w:lineRule="exact"/>
        <w:jc w:val="center"/>
        <w:rPr>
          <w:rFonts w:ascii="Times New Roman" w:eastAsia="方正小标宋_GBK" w:cs="Times New Roman" w:hAnsi="Times New Roman"/>
          <w:sz w:val="44"/>
          <w:szCs w:val="44"/>
        </w:rPr>
      </w:pPr>
    </w:p>
    <w:p>
      <w:pPr>
        <w:widowControl/>
        <w:spacing w:line="560" w:lineRule="exact"/>
        <w:jc w:val="center"/>
        <w:rPr>
          <w:rFonts w:ascii="Times New Roman" w:eastAsia="方正小标宋_GBK" w:cs="Times New Roman" w:hAnsi="Times New Roman"/>
          <w:b/>
          <w:sz w:val="44"/>
          <w:szCs w:val="44"/>
        </w:rPr>
      </w:pPr>
      <w:r>
        <w:rPr>
          <w:rFonts w:ascii="Times New Roman" w:eastAsia="方正小标宋_GBK" w:cs="Times New Roman" w:hAnsi="Times New Roman" w:hint="eastAsia"/>
          <w:b/>
          <w:sz w:val="44"/>
          <w:szCs w:val="44"/>
        </w:rPr>
        <w:t>进境（过境）动植物及其产品检疫审批（食品部分）申请填写须知</w:t>
      </w:r>
    </w:p>
    <w:p>
      <w:pPr>
        <w:spacing w:line="560" w:lineRule="exact"/>
        <w:ind w:firstLineChars="177" w:firstLine="566"/>
        <w:rPr>
          <w:rFonts w:ascii="Times New Roman" w:eastAsia="方正黑体_GBK" w:hAnsi="Times New Roman"/>
          <w:sz w:val="32"/>
          <w:szCs w:val="32"/>
        </w:rPr>
      </w:pPr>
    </w:p>
    <w:p>
      <w:pPr>
        <w:spacing w:line="560" w:lineRule="exact"/>
        <w:ind w:firstLineChars="177" w:firstLine="566"/>
        <w:rPr>
          <w:rFonts w:ascii="Times New Roman" w:eastAsia="方正黑体_GBK" w:hAnsi="Times New Roman"/>
          <w:sz w:val="32"/>
          <w:szCs w:val="32"/>
        </w:rPr>
      </w:pPr>
      <w:r>
        <w:rPr>
          <w:rFonts w:ascii="Times New Roman" w:eastAsia="方正黑体_GBK" w:hAnsi="Times New Roman" w:hint="eastAsia"/>
          <w:sz w:val="32"/>
          <w:szCs w:val="32"/>
        </w:rPr>
        <w:t>一、基本原则</w:t>
      </w:r>
    </w:p>
    <w:p>
      <w:pPr>
        <w:spacing w:line="560" w:lineRule="exact"/>
        <w:ind w:firstLineChars="177" w:firstLine="566"/>
        <w:rPr>
          <w:rFonts w:ascii="Times New Roman" w:eastAsia="方正仿宋_GBK" w:cs="Times New Roman" w:hAnsi="Times New Roman"/>
          <w:sz w:val="32"/>
          <w:szCs w:val="32"/>
        </w:rPr>
      </w:pPr>
      <w:r>
        <w:rPr>
          <w:rFonts w:ascii="Times New Roman" w:eastAsia="方正楷体_GBK" w:cs="Times New Roman" w:hAnsi="Times New Roman" w:hint="eastAsia"/>
          <w:b/>
          <w:sz w:val="32"/>
          <w:szCs w:val="32"/>
        </w:rPr>
        <w:t>（一）</w:t>
      </w:r>
      <w:r>
        <w:rPr>
          <w:rFonts w:ascii="Times New Roman" w:eastAsia="方正仿宋_GBK" w:cs="Times New Roman" w:hAnsi="Times New Roman" w:hint="eastAsia"/>
          <w:sz w:val="32"/>
          <w:szCs w:val="32"/>
        </w:rPr>
        <w:t>进境食品不得为禁止进境产品或未获准入产品，有注册要求的需来自注册企业的注册品种；</w:t>
      </w:r>
    </w:p>
    <w:p>
      <w:pPr>
        <w:spacing w:line="560" w:lineRule="exact"/>
        <w:ind w:firstLineChars="177" w:firstLine="566"/>
        <w:rPr>
          <w:rFonts w:ascii="Times New Roman" w:eastAsia="方正仿宋_GBK" w:cs="Times New Roman" w:hAnsi="Times New Roman"/>
          <w:sz w:val="32"/>
          <w:szCs w:val="32"/>
        </w:rPr>
      </w:pPr>
      <w:r>
        <w:rPr>
          <w:rFonts w:ascii="Times New Roman" w:eastAsia="方正楷体_GBK" w:cs="Times New Roman" w:hAnsi="Times New Roman" w:hint="eastAsia"/>
          <w:b/>
          <w:sz w:val="32"/>
          <w:szCs w:val="32"/>
        </w:rPr>
        <w:t>（二）</w:t>
      </w:r>
      <w:r>
        <w:rPr>
          <w:rFonts w:ascii="Times New Roman" w:eastAsia="方正仿宋_GBK" w:cs="Times New Roman" w:hAnsi="Times New Roman" w:hint="eastAsia"/>
          <w:sz w:val="32"/>
          <w:szCs w:val="32"/>
        </w:rPr>
        <w:t>同一申请单位对同一品种、同一输出国家或者地区、同一加工、使用单位一次只能办理1份《检疫许可证》。</w:t>
      </w:r>
    </w:p>
    <w:p>
      <w:pPr>
        <w:spacing w:line="560" w:lineRule="exact"/>
        <w:ind w:firstLineChars="177" w:firstLine="566"/>
        <w:rPr>
          <w:rFonts w:ascii="Times New Roman" w:eastAsia="方正黑体_GBK" w:hAnsi="Times New Roman"/>
          <w:sz w:val="32"/>
          <w:szCs w:val="32"/>
        </w:rPr>
      </w:pPr>
      <w:r>
        <w:rPr>
          <w:rFonts w:ascii="Times New Roman" w:eastAsia="方正黑体_GBK" w:hAnsi="Times New Roman" w:hint="eastAsia"/>
          <w:sz w:val="32"/>
          <w:szCs w:val="32"/>
        </w:rPr>
        <w:t>二、信息填写注意事项</w:t>
      </w:r>
    </w:p>
    <w:p>
      <w:pPr>
        <w:spacing w:line="560" w:lineRule="exact"/>
        <w:ind w:firstLineChars="176" w:firstLine="563"/>
        <w:rPr>
          <w:rFonts w:ascii="Times New Roman" w:eastAsia="方正楷体_GBK" w:cs="Times New Roman" w:hAnsi="Times New Roman"/>
          <w:b/>
          <w:sz w:val="32"/>
          <w:szCs w:val="32"/>
        </w:rPr>
      </w:pPr>
      <w:r>
        <w:rPr>
          <w:rFonts w:ascii="Times New Roman" w:eastAsia="方正楷体_GBK" w:cs="Times New Roman" w:hAnsi="Times New Roman" w:hint="eastAsia"/>
          <w:b/>
          <w:sz w:val="32"/>
          <w:szCs w:val="32"/>
        </w:rPr>
        <w:t>（一）进境检疫物信息。</w:t>
      </w:r>
    </w:p>
    <w:p>
      <w:pPr>
        <w:keepNext w:val="0"/>
        <w:keepLines w:val="0"/>
        <w:pageBreakBefore w:val="0"/>
        <w:widowControl w:val="0"/>
        <w:kinsoku/>
        <w:wordWrap/>
        <w:overflowPunct/>
        <w:topLinePunct w:val="0"/>
        <w:autoSpaceDE/>
        <w:autoSpaceDN/>
        <w:bidi w:val="0"/>
        <w:adjustRightInd/>
        <w:snapToGrid/>
        <w:spacing w:line="560" w:lineRule="exact"/>
        <w:ind w:firstLineChars="177" w:firstLine="566"/>
        <w:textAlignment w:val="auto"/>
        <w:rPr>
          <w:rFonts w:ascii="Times New Roman" w:eastAsia="方正仿宋_GBK" w:cs="Times New Roman" w:hAnsi="Times New Roman" w:hint="eastAsia"/>
          <w:sz w:val="32"/>
          <w:szCs w:val="32"/>
        </w:rPr>
      </w:pPr>
      <w:r>
        <w:rPr>
          <w:rFonts w:ascii="Times New Roman" w:eastAsia="方正仿宋_GBK" w:cs="Times New Roman" w:hAnsi="Times New Roman" w:hint="eastAsia"/>
          <w:sz w:val="32"/>
          <w:szCs w:val="32"/>
        </w:rPr>
        <w:t>1.“HS编码大类”、“HS编码名称”、“CIQ编码名称”与“品名”（必填项）。</w:t>
      </w:r>
    </w:p>
    <w:p>
      <w:pPr>
        <w:keepNext w:val="0"/>
        <w:keepLines w:val="0"/>
        <w:pageBreakBefore w:val="0"/>
        <w:widowControl w:val="0"/>
        <w:kinsoku/>
        <w:wordWrap/>
        <w:overflowPunct/>
        <w:topLinePunct w:val="0"/>
        <w:autoSpaceDE/>
        <w:autoSpaceDN/>
        <w:bidi w:val="0"/>
        <w:adjustRightInd/>
        <w:snapToGrid/>
        <w:spacing w:line="560" w:lineRule="exact"/>
        <w:ind w:firstLineChars="177" w:firstLine="566"/>
        <w:textAlignment w:val="auto"/>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申请肉类产品应按照海关总署实时公布《符合评估审查要求的国家或地区输华肉类产品名单》规范填写，“品名”在下拉框中选择；</w:t>
      </w:r>
    </w:p>
    <w:p>
      <w:pPr>
        <w:keepNext w:val="0"/>
        <w:keepLines w:val="0"/>
        <w:pageBreakBefore w:val="0"/>
        <w:widowControl w:val="0"/>
        <w:kinsoku/>
        <w:wordWrap/>
        <w:overflowPunct/>
        <w:topLinePunct w:val="0"/>
        <w:autoSpaceDE/>
        <w:autoSpaceDN/>
        <w:bidi w:val="0"/>
        <w:adjustRightInd/>
        <w:snapToGrid/>
        <w:spacing w:line="560" w:lineRule="exact"/>
        <w:ind w:firstLineChars="177" w:firstLine="566"/>
        <w:textAlignment w:val="auto"/>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2.“数/重量”。填写净重。</w:t>
      </w:r>
    </w:p>
    <w:p>
      <w:pPr>
        <w:keepNext w:val="0"/>
        <w:keepLines w:val="0"/>
        <w:pageBreakBefore w:val="0"/>
        <w:widowControl w:val="0"/>
        <w:kinsoku/>
        <w:wordWrap/>
        <w:overflowPunct/>
        <w:topLinePunct w:val="0"/>
        <w:autoSpaceDE/>
        <w:autoSpaceDN/>
        <w:bidi w:val="0"/>
        <w:adjustRightInd/>
        <w:snapToGrid/>
        <w:spacing w:line="560" w:lineRule="exact"/>
        <w:ind w:firstLineChars="177" w:firstLine="566"/>
        <w:textAlignment w:val="auto"/>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3.“计量单位”。计量单位应使用国际单位制中的单位。系统中固定以千克为单位。</w:t>
      </w:r>
    </w:p>
    <w:p>
      <w:pPr>
        <w:keepNext w:val="0"/>
        <w:keepLines w:val="0"/>
        <w:pageBreakBefore w:val="0"/>
        <w:widowControl w:val="0"/>
        <w:kinsoku/>
        <w:wordWrap/>
        <w:overflowPunct/>
        <w:topLinePunct w:val="0"/>
        <w:autoSpaceDE/>
        <w:autoSpaceDN/>
        <w:bidi w:val="0"/>
        <w:adjustRightInd/>
        <w:snapToGrid/>
        <w:spacing w:line="560" w:lineRule="exact"/>
        <w:ind w:firstLineChars="200" w:firstLine="640"/>
        <w:textAlignment w:val="auto"/>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4.“产地”。应填写国家或地区名称。</w:t>
      </w:r>
    </w:p>
    <w:p>
      <w:pPr>
        <w:spacing w:line="560" w:lineRule="exact"/>
        <w:ind w:firstLineChars="176" w:firstLine="563"/>
        <w:rPr>
          <w:rFonts w:ascii="Times New Roman" w:eastAsia="方正楷体_GBK" w:cs="Times New Roman" w:hAnsi="Times New Roman"/>
          <w:b/>
          <w:sz w:val="32"/>
          <w:szCs w:val="32"/>
        </w:rPr>
      </w:pPr>
      <w:r>
        <w:rPr>
          <w:rFonts w:ascii="Times New Roman" w:eastAsia="方正楷体_GBK" w:cs="Times New Roman" w:hAnsi="Times New Roman" w:hint="eastAsia"/>
          <w:b/>
          <w:sz w:val="32"/>
          <w:szCs w:val="32"/>
        </w:rPr>
        <w:t>（二）运输贸易详细信息。</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1.“输出国家地区”（必填项）：填输出国家名称，请不要填省或州，与“产地”一致，在该行列表里，仍有国家名称一项可选择。</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2.“贸易方式”（必填项）：填一般贸易，如属于来料加工复出口的，请填来料加工。</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3.“是否过境”：如果非过境货物，则填否，“过境口岸”与“出境日期”不用填写。</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4.“进境口岸”与“指运地（结关地）”（必填项）：</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肉类产品应按海关总署实时公布的</w:t>
      </w:r>
      <w:r>
        <w:rPr>
          <w:rFonts w:ascii="Times New Roman" w:eastAsia="方正仿宋_GBK" w:cs="Times New Roman" w:hAnsi="Times New Roman" w:hint="eastAsia"/>
          <w:sz w:val="32"/>
          <w:szCs w:val="32"/>
        </w:rPr>
        <w:fldChar w:fldCharType="begin"/>
      </w:r>
      <w:r>
        <w:instrText>HYPERLINK "http://www.gdciq.gov.cn/App_Web/OLD/gdciquf/InfoPubServices/PubService_Files/进口肉类指定口岸 查验场 冷链查验储存一体化设施名单_2.xls"</w:instrText>
      </w:r>
      <w:r>
        <w:rPr>
          <w:rFonts w:ascii="Times New Roman" w:eastAsia="方正仿宋_GBK" w:cs="Times New Roman" w:hAnsi="Times New Roman" w:hint="eastAsia"/>
          <w:sz w:val="32"/>
          <w:szCs w:val="32"/>
        </w:rPr>
        <w:fldChar w:fldCharType="separate"/>
      </w:r>
      <w:r>
        <w:rPr>
          <w:rFonts w:ascii="Times New Roman" w:eastAsia="方正仿宋_GBK" w:cs="Times New Roman" w:hAnsi="Times New Roman" w:hint="eastAsia"/>
          <w:sz w:val="32"/>
          <w:szCs w:val="32"/>
        </w:rPr>
        <w:t>《进口肉类指定口岸/查验场名单》</w:t>
      </w:r>
      <w:r>
        <w:rPr>
          <w:rFonts w:ascii="Times New Roman" w:eastAsia="方正仿宋_GBK" w:cs="Times New Roman" w:hAnsi="Times New Roman" w:hint="eastAsia"/>
          <w:sz w:val="32"/>
          <w:szCs w:val="32"/>
        </w:rPr>
        <w:fldChar w:fldCharType="end"/>
      </w:r>
      <w:r>
        <w:rPr>
          <w:rFonts w:ascii="Times New Roman" w:eastAsia="方正仿宋_GBK" w:cs="Times New Roman" w:hAnsi="Times New Roman" w:hint="eastAsia"/>
          <w:sz w:val="32"/>
          <w:szCs w:val="32"/>
        </w:rPr>
        <w:t>、《进口肉类指定监管场地名单》名称选择进境口岸；</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5.“查验场”（肉类产品必填项）：请按海关总署实时公布</w:t>
      </w:r>
      <w:r>
        <w:rPr>
          <w:rFonts w:ascii="Times New Roman" w:eastAsia="方正仿宋_GBK" w:cs="Times New Roman" w:hAnsi="Times New Roman" w:hint="eastAsia"/>
          <w:sz w:val="32"/>
          <w:szCs w:val="32"/>
        </w:rPr>
        <w:fldChar w:fldCharType="begin"/>
      </w:r>
      <w:r>
        <w:instrText>HYPERLINK "http://www.gdciq.gov.cn/App_Web/OLD/gdciquf/InfoPubServices/PubService_Files/进口肉类指定口岸 查验场 冷链查验储存一体化设施名单_2.xls"</w:instrText>
      </w:r>
      <w:r>
        <w:rPr>
          <w:rFonts w:ascii="Times New Roman" w:eastAsia="方正仿宋_GBK" w:cs="Times New Roman" w:hAnsi="Times New Roman" w:hint="eastAsia"/>
          <w:sz w:val="32"/>
          <w:szCs w:val="32"/>
        </w:rPr>
        <w:fldChar w:fldCharType="separate"/>
      </w:r>
      <w:r>
        <w:rPr>
          <w:rFonts w:ascii="Times New Roman" w:eastAsia="方正仿宋_GBK" w:cs="Times New Roman" w:hAnsi="Times New Roman" w:hint="eastAsia"/>
          <w:sz w:val="32"/>
          <w:szCs w:val="32"/>
        </w:rPr>
        <w:t>《进口肉类指定口岸/查验场名单》</w:t>
      </w:r>
      <w:r>
        <w:rPr>
          <w:rFonts w:ascii="Times New Roman" w:eastAsia="方正仿宋_GBK" w:cs="Times New Roman" w:hAnsi="Times New Roman" w:hint="eastAsia"/>
          <w:sz w:val="32"/>
          <w:szCs w:val="32"/>
        </w:rPr>
        <w:fldChar w:fldCharType="end"/>
      </w:r>
      <w:r>
        <w:rPr>
          <w:rFonts w:ascii="Times New Roman" w:eastAsia="方正仿宋_GBK" w:cs="Times New Roman" w:hAnsi="Times New Roman" w:hint="eastAsia"/>
          <w:sz w:val="32"/>
          <w:szCs w:val="32"/>
        </w:rPr>
        <w:t>、《进口肉类指定监管场地名单》名称填写。</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6.“进境日期”（必填项）：请填写实际进境时间，应在申报日期之后。</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7.“目的地”（必填项）：请填确切的目的地到省市，例如广东省广州市。</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8.“运输方式”（必填项）：请根据实际情况填写空运，江海运输、联合运输等。</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9.“用途”（必填项）：食用”。</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10.“用途说明”（必填项）：与“用途”一栏对应，可填写“食用（自用）”“食用（销售）”“食用（加工）”“食用（销售、加工）”“加工复出口”。</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11.“装载方式”（必填项）：请根据实际情况填写集装箱或散装。</w:t>
      </w:r>
    </w:p>
    <w:p>
      <w:pPr>
        <w:spacing w:line="560" w:lineRule="exact"/>
        <w:ind w:firstLineChars="221" w:firstLine="707"/>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12.“运输路线”（必填项）：</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申请肉类产品的，须在该栏目中填写“国家/地区-查验场(直航或直运) ”，</w:t>
      </w:r>
      <w:r>
        <w:rPr>
          <w:rFonts w:ascii="Times New Roman" w:eastAsia="方正仿宋_GBK" w:cs="Times New Roman" w:hAnsi="Times New Roman" w:hint="eastAsia"/>
          <w:b/>
          <w:sz w:val="32"/>
          <w:szCs w:val="32"/>
        </w:rPr>
        <w:t>例如</w:t>
      </w:r>
      <w:r>
        <w:rPr>
          <w:rFonts w:ascii="Times New Roman" w:eastAsia="方正仿宋_GBK" w:cs="Times New Roman" w:hAnsi="Times New Roman" w:hint="eastAsia"/>
          <w:sz w:val="32"/>
          <w:szCs w:val="32"/>
        </w:rPr>
        <w:t>：“加拿大-南沙新港口岸（直运）”；</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申请其他产品的，直接在该栏目中填写“国家/地区-进境口岸”即可。</w:t>
      </w:r>
    </w:p>
    <w:p>
      <w:pPr>
        <w:spacing w:line="560" w:lineRule="exact"/>
        <w:ind w:firstLineChars="176" w:firstLine="563"/>
        <w:rPr>
          <w:rFonts w:ascii="Times New Roman" w:eastAsia="方正楷体_GBK" w:cs="Times New Roman" w:hAnsi="Times New Roman"/>
          <w:b/>
          <w:sz w:val="32"/>
          <w:szCs w:val="32"/>
        </w:rPr>
      </w:pPr>
      <w:r>
        <w:rPr>
          <w:rFonts w:ascii="Times New Roman" w:eastAsia="方正楷体_GBK" w:cs="Times New Roman" w:hAnsi="Times New Roman" w:hint="eastAsia"/>
          <w:b/>
          <w:sz w:val="32"/>
          <w:szCs w:val="32"/>
        </w:rPr>
        <w:t>（三） 境内生产加工存放单位信息。</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填写“境内指定/认定存放场所”（必填项）、“其他境内指定/认定存放场所”（必填项）、“境内生产加工单位” （非必填项）、“其他境内生产加工单位”（非必填项）信息。</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肉类产品在“境内指定/认定存放场所”的下拉框选择，须与海关总署实时公布的</w:t>
      </w:r>
      <w:r>
        <w:rPr>
          <w:rFonts w:ascii="Times New Roman" w:eastAsia="方正仿宋_GBK" w:cs="Times New Roman" w:hAnsi="Times New Roman" w:hint="eastAsia"/>
          <w:sz w:val="32"/>
          <w:szCs w:val="32"/>
        </w:rPr>
        <w:fldChar w:fldCharType="begin"/>
      </w:r>
      <w:r>
        <w:instrText>HYPERLINK "http://www.gdciq.gov.cn/App_Web/OLD/gdciquf/InfoPubServices/PubService_Files/进口肉类指定口岸 查验场 冷链查验储存一体化设施名单_2.xls"</w:instrText>
      </w:r>
      <w:r>
        <w:rPr>
          <w:rFonts w:ascii="Times New Roman" w:eastAsia="方正仿宋_GBK" w:cs="Times New Roman" w:hAnsi="Times New Roman" w:hint="eastAsia"/>
          <w:sz w:val="32"/>
          <w:szCs w:val="32"/>
        </w:rPr>
        <w:fldChar w:fldCharType="separate"/>
      </w:r>
      <w:r>
        <w:rPr>
          <w:rFonts w:ascii="Times New Roman" w:eastAsia="方正仿宋_GBK" w:cs="Times New Roman" w:hAnsi="Times New Roman" w:hint="eastAsia"/>
          <w:sz w:val="32"/>
          <w:szCs w:val="32"/>
        </w:rPr>
        <w:t>《进口肉类指定口岸/查验场名单》</w:t>
      </w:r>
      <w:r>
        <w:rPr>
          <w:rFonts w:ascii="Times New Roman" w:eastAsia="方正仿宋_GBK" w:cs="Times New Roman" w:hAnsi="Times New Roman" w:hint="eastAsia"/>
          <w:sz w:val="32"/>
          <w:szCs w:val="32"/>
        </w:rPr>
        <w:fldChar w:fldCharType="end"/>
      </w:r>
      <w:r>
        <w:rPr>
          <w:rFonts w:ascii="Times New Roman" w:eastAsia="方正仿宋_GBK" w:cs="Times New Roman" w:hAnsi="Times New Roman" w:hint="eastAsia"/>
          <w:sz w:val="32"/>
          <w:szCs w:val="32"/>
        </w:rPr>
        <w:t>、《进口肉类指定监管场地名单》一致。</w:t>
      </w:r>
    </w:p>
    <w:p>
      <w:pPr>
        <w:spacing w:line="560" w:lineRule="exact"/>
        <w:ind w:firstLineChars="176" w:firstLine="563"/>
        <w:rPr>
          <w:rFonts w:ascii="Times New Roman" w:eastAsia="方正楷体_GBK" w:cs="Times New Roman" w:hAnsi="Times New Roman"/>
          <w:b/>
          <w:sz w:val="32"/>
          <w:szCs w:val="32"/>
        </w:rPr>
      </w:pPr>
      <w:r>
        <w:rPr>
          <w:rFonts w:ascii="Times New Roman" w:eastAsia="方正楷体_GBK" w:cs="Times New Roman" w:hAnsi="Times New Roman" w:hint="eastAsia"/>
          <w:b/>
          <w:sz w:val="32"/>
          <w:szCs w:val="32"/>
        </w:rPr>
        <w:t>（四） 境外生产加工单位及出口商信息。</w:t>
      </w:r>
    </w:p>
    <w:p>
      <w:pPr>
        <w:spacing w:line="560" w:lineRule="exact"/>
        <w:ind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填写“境外生产加工单位”（必填项）、“其他境外生产加工单位”（必填项）、“境外出口商或代理商（非必填项）”、“其他境外出口商或代理商”（非必填项）信息。</w:t>
      </w:r>
    </w:p>
    <w:p>
      <w:pPr>
        <w:spacing w:line="560" w:lineRule="exact"/>
        <w:ind w:rightChars="-27" w:right="-57"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1.申请肉类产品的，请在“境外生产加工单位”下拉框中选择境外生产企业注册号，注意不可选择已被海关总署暂停的境外生产企业。</w:t>
      </w:r>
    </w:p>
    <w:p>
      <w:pPr>
        <w:spacing w:line="560" w:lineRule="exact"/>
        <w:ind w:rightChars="-27" w:right="-57" w:firstLineChars="177" w:firstLine="566"/>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2.其余产品请在“其他境外生产加工单位”中填写海关总署实时公布的处于正常准入状态境外生产企业的注册号。</w:t>
      </w:r>
    </w:p>
    <w:p>
      <w:pPr>
        <w:spacing w:line="560" w:lineRule="exact"/>
        <w:ind w:firstLineChars="176" w:firstLine="563"/>
        <w:rPr>
          <w:rFonts w:ascii="Times New Roman" w:eastAsia="方正楷体_GBK" w:cs="Times New Roman" w:hAnsi="Times New Roman"/>
          <w:b/>
          <w:sz w:val="32"/>
          <w:szCs w:val="32"/>
        </w:rPr>
      </w:pPr>
      <w:r>
        <w:rPr>
          <w:rFonts w:ascii="Times New Roman" w:eastAsia="方正楷体_GBK" w:cs="Times New Roman" w:hAnsi="Times New Roman" w:hint="eastAsia"/>
          <w:b/>
          <w:sz w:val="32"/>
          <w:szCs w:val="32"/>
        </w:rPr>
        <w:t>（五）随附单证信息。</w:t>
      </w:r>
    </w:p>
    <w:p>
      <w:pPr>
        <w:spacing w:line="560" w:lineRule="exact"/>
        <w:ind w:rightChars="-501" w:right="-1052"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在“其他随附单证”空白处填写上一份许可证信息：</w:t>
      </w:r>
    </w:p>
    <w:p>
      <w:pPr>
        <w:spacing w:line="560" w:lineRule="exact"/>
        <w:ind w:rightChars="-501" w:right="-1052"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（1）首次申请的，可填写“首次申请该产品。”</w:t>
      </w:r>
    </w:p>
    <w:p>
      <w:pPr>
        <w:spacing w:line="560" w:lineRule="exact"/>
        <w:ind w:rightChars="-27" w:right="-57" w:firstLineChars="200" w:firstLine="640"/>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（2）“上一份许可证编号：******，获批量：***吨，已核销：***吨，未过期/已过期。”</w:t>
      </w:r>
    </w:p>
    <w:p>
      <w:pPr>
        <w:spacing w:line="560" w:lineRule="exact"/>
        <w:ind w:left="0" w:rightChars="-501" w:right="-1052"/>
        <w:rPr>
          <w:rFonts w:ascii="Times New Roman" w:eastAsia="方正仿宋_GBK" w:cs="Times New Roman" w:hAnsi="Times New Roman"/>
          <w:sz w:val="32"/>
          <w:szCs w:val="32"/>
        </w:rPr>
      </w:pPr>
    </w:p>
    <w:p>
      <w:pPr>
        <w:pStyle w:val="22"/>
        <w:widowControl/>
        <w:autoSpaceDN w:val="0"/>
        <w:adjustRightInd w:val="0"/>
        <w:snapToGrid w:val="0"/>
        <w:spacing w:line="560" w:lineRule="exact"/>
        <w:ind w:right="244"/>
        <w:rPr>
          <w:rFonts w:ascii="方正黑体_GBK" w:eastAsia="方正黑体_GBK" w:hint="eastAsia"/>
          <w:sz w:val="32"/>
          <w:szCs w:val="32"/>
        </w:rPr>
      </w:pPr>
      <w:r>
        <w:rPr>
          <w:rFonts w:ascii="方正黑体_GBK" w:eastAsia="方正黑体_GBK" w:hint="eastAsia"/>
          <w:sz w:val="32"/>
          <w:szCs w:val="32"/>
        </w:rPr>
        <w:t>错误示例</w:t>
      </w:r>
    </w:p>
    <w:p>
      <w:pPr>
        <w:pStyle w:val="22"/>
        <w:autoSpaceDN w:val="0"/>
        <w:adjustRightInd w:val="0"/>
        <w:snapToGrid w:val="0"/>
        <w:spacing w:line="560" w:lineRule="exact"/>
        <w:ind w:firstLineChars="200" w:firstLine="640"/>
        <w:rPr>
          <w:rFonts w:ascii="方正仿宋_GBK" w:eastAsia="方正仿宋_GBK" w:hint="eastAsia"/>
          <w:sz w:val="32"/>
          <w:szCs w:val="32"/>
        </w:rPr>
      </w:pPr>
      <w:r>
        <w:rPr>
          <w:rFonts w:ascii="Times New Roman" w:eastAsia="方正仿宋_GBK" w:cs="Times New Roman" w:hAnsi="Times New Roman"/>
          <w:sz w:val="32"/>
          <w:szCs w:val="32"/>
        </w:rPr>
        <w:t>1.</w:t>
      </w:r>
      <w:r>
        <w:rPr>
          <w:rFonts w:ascii="方正仿宋_GBK" w:eastAsia="方正仿宋_GBK" w:hint="eastAsia"/>
          <w:sz w:val="32"/>
          <w:szCs w:val="32"/>
        </w:rPr>
        <w:t>申请单填报信息有误，如：</w:t>
      </w:r>
      <w:r>
        <w:rPr>
          <w:rFonts w:ascii="Times New Roman" w:eastAsia="方正仿宋_GBK" w:cs="Times New Roman" w:hAnsi="Times New Roman"/>
          <w:sz w:val="32"/>
          <w:szCs w:val="32"/>
        </w:rPr>
        <w:t>HS</w:t>
      </w:r>
      <w:r>
        <w:rPr>
          <w:rFonts w:ascii="方正仿宋_GBK" w:eastAsia="方正仿宋_GBK" w:hint="eastAsia"/>
          <w:sz w:val="32"/>
          <w:szCs w:val="32"/>
        </w:rPr>
        <w:t>编码与申请检疫物品名不符；</w:t>
      </w:r>
    </w:p>
    <w:p>
      <w:pPr>
        <w:pStyle w:val="22"/>
        <w:autoSpaceDN w:val="0"/>
        <w:adjustRightInd w:val="0"/>
        <w:snapToGrid w:val="0"/>
        <w:spacing w:line="560" w:lineRule="exact"/>
        <w:ind w:firstLineChars="200" w:firstLine="640"/>
        <w:rPr>
          <w:rFonts w:ascii="方正仿宋_GBK" w:eastAsia="方正仿宋_GBK" w:hint="eastAsia"/>
          <w:sz w:val="32"/>
          <w:szCs w:val="32"/>
        </w:rPr>
      </w:pPr>
      <w:r>
        <w:rPr>
          <w:rFonts w:ascii="Times New Roman" w:eastAsia="方正仿宋_GBK" w:cs="Times New Roman" w:hAnsi="Times New Roman"/>
          <w:sz w:val="32"/>
          <w:szCs w:val="32"/>
        </w:rPr>
        <w:t>2.</w:t>
      </w:r>
      <w:r>
        <w:rPr>
          <w:rFonts w:ascii="方正仿宋_GBK" w:eastAsia="方正仿宋_GBK" w:hint="eastAsia"/>
          <w:sz w:val="32"/>
          <w:szCs w:val="32"/>
        </w:rPr>
        <w:t>企业提供的申请材料不齐备，如缺少生产加工</w:t>
      </w:r>
      <w:r>
        <w:rPr>
          <w:rFonts w:ascii="方正仿宋_GBK" w:eastAsia="方正仿宋_GBK" w:hint="eastAsia"/>
          <w:kern w:val="0"/>
          <w:sz w:val="32"/>
          <w:szCs w:val="32"/>
        </w:rPr>
        <w:t>存放单位考核报告，申请单位与定点企业签订的存放合同</w:t>
      </w:r>
      <w:r>
        <w:rPr>
          <w:rFonts w:ascii="方正仿宋_GBK" w:eastAsia="方正仿宋_GBK" w:hint="eastAsia"/>
          <w:sz w:val="32"/>
          <w:szCs w:val="32"/>
        </w:rPr>
        <w:t>；</w:t>
      </w:r>
    </w:p>
    <w:p>
      <w:pPr>
        <w:pStyle w:val="22"/>
        <w:autoSpaceDN w:val="0"/>
        <w:adjustRightInd w:val="0"/>
        <w:snapToGrid w:val="0"/>
        <w:spacing w:line="560" w:lineRule="exact"/>
        <w:ind w:firstLineChars="200" w:firstLine="640"/>
        <w:rPr>
          <w:rFonts w:ascii="方正仿宋_GBK" w:eastAsia="方正仿宋_GBK" w:hint="eastAsia"/>
          <w:sz w:val="32"/>
          <w:szCs w:val="32"/>
        </w:rPr>
      </w:pPr>
      <w:r>
        <w:rPr>
          <w:rFonts w:ascii="Times New Roman" w:eastAsia="方正仿宋_GBK" w:cs="Times New Roman" w:hAnsi="Times New Roman"/>
          <w:sz w:val="32"/>
          <w:szCs w:val="32"/>
        </w:rPr>
        <w:t>3.</w:t>
      </w:r>
      <w:r>
        <w:rPr>
          <w:rFonts w:ascii="方正仿宋_GBK" w:eastAsia="方正仿宋_GBK" w:hint="eastAsia"/>
          <w:sz w:val="32"/>
          <w:szCs w:val="32"/>
        </w:rPr>
        <w:t>企业申请的进境检疫物不符合《符合评估审查要求及有传统贸易的国家或地区输华食品目录》。</w:t>
      </w:r>
    </w:p>
    <w:p>
      <w:pPr>
        <w:pStyle w:val="22"/>
        <w:autoSpaceDN w:val="0"/>
        <w:adjustRightInd w:val="0"/>
        <w:snapToGrid w:val="0"/>
        <w:spacing w:line="560" w:lineRule="exact"/>
        <w:ind w:firstLineChars="200" w:firstLine="640"/>
        <w:rPr>
          <w:rFonts w:ascii="方正仿宋_GBK" w:eastAsia="方正仿宋_GBK" w:hint="eastAsia"/>
          <w:sz w:val="32"/>
          <w:szCs w:val="32"/>
        </w:rPr>
      </w:pPr>
    </w:p>
    <w:p>
      <w:pPr>
        <w:pStyle w:val="22"/>
        <w:widowControl/>
        <w:autoSpaceDN w:val="0"/>
        <w:adjustRightInd w:val="0"/>
        <w:snapToGrid w:val="0"/>
        <w:spacing w:line="560" w:lineRule="exact"/>
        <w:ind w:right="244"/>
        <w:rPr>
          <w:rFonts w:ascii="方正黑体_GBK" w:eastAsia="方正黑体_GBK" w:hint="eastAsia"/>
          <w:sz w:val="32"/>
          <w:szCs w:val="32"/>
        </w:rPr>
      </w:pPr>
      <w:r>
        <w:rPr>
          <w:rFonts w:ascii="方正黑体_GBK" w:eastAsia="方正黑体_GBK" w:hint="eastAsia"/>
          <w:sz w:val="32"/>
          <w:szCs w:val="32"/>
        </w:rPr>
        <w:t>常见问题解答</w:t>
      </w:r>
    </w:p>
    <w:p>
      <w:pPr>
        <w:pStyle w:val="22"/>
        <w:autoSpaceDN w:val="0"/>
        <w:adjustRightInd w:val="0"/>
        <w:snapToGrid w:val="0"/>
        <w:spacing w:line="560" w:lineRule="exact"/>
        <w:ind w:firstLineChars="200" w:firstLine="640"/>
        <w:rPr>
          <w:rFonts w:ascii="Times New Roman" w:eastAsia="方正仿宋_GBK" w:cs="Times New Roman" w:hAnsi="Times New Roman" w:hint="eastAsia"/>
          <w:bCs/>
          <w:sz w:val="32"/>
          <w:szCs w:val="32"/>
        </w:rPr>
      </w:pPr>
      <w:r>
        <w:rPr>
          <w:rFonts w:ascii="Times New Roman" w:eastAsia="方正仿宋_GBK" w:cs="Times New Roman" w:hAnsi="Times New Roman"/>
          <w:sz w:val="32"/>
          <w:szCs w:val="32"/>
        </w:rPr>
        <w:t>1.</w:t>
      </w:r>
      <w:r>
        <w:rPr>
          <w:rFonts w:ascii="Times New Roman" w:eastAsia="方正仿宋_GBK" w:cs="Times New Roman" w:hAnsi="Times New Roman" w:hint="eastAsia"/>
          <w:bCs/>
          <w:sz w:val="32"/>
          <w:szCs w:val="32"/>
        </w:rPr>
        <w:t>企业如何了解行政许可申请办理情况？</w:t>
      </w:r>
    </w:p>
    <w:p>
      <w:pPr>
        <w:pStyle w:val="22"/>
        <w:autoSpaceDN w:val="0"/>
        <w:adjustRightInd w:val="0"/>
        <w:snapToGrid w:val="0"/>
        <w:spacing w:line="560" w:lineRule="exact"/>
        <w:ind w:firstLineChars="200" w:firstLine="640"/>
        <w:rPr>
          <w:rFonts w:ascii="方正仿宋_GBK" w:eastAsia="方正仿宋_GBK" w:hint="eastAsia"/>
          <w:sz w:val="32"/>
          <w:szCs w:val="32"/>
        </w:rPr>
      </w:pPr>
      <w:r>
        <w:rPr>
          <w:rFonts w:ascii="方正仿宋_GBK" w:eastAsia="方正仿宋_GBK" w:hint="eastAsia"/>
          <w:sz w:val="32"/>
          <w:szCs w:val="32"/>
        </w:rPr>
        <w:t>答：登</w:t>
      </w:r>
      <w:r>
        <w:rPr>
          <w:rFonts w:ascii="方正仿宋_GBK" w:eastAsia="方正仿宋_GBK"/>
          <w:sz w:val="32"/>
          <w:szCs w:val="32"/>
        </w:rPr>
        <w:t>录</w:t>
      </w:r>
      <w:r>
        <w:rPr>
          <w:rFonts w:ascii="方正仿宋_GBK" w:eastAsia="方正仿宋_GBK" w:hint="eastAsia"/>
          <w:kern w:val="0"/>
          <w:sz w:val="32"/>
          <w:szCs w:val="32"/>
        </w:rPr>
        <w:t>系统企业端账号查询。</w:t>
      </w:r>
    </w:p>
    <w:p>
      <w:pPr>
        <w:pStyle w:val="22"/>
        <w:autoSpaceDN w:val="0"/>
        <w:adjustRightInd w:val="0"/>
        <w:snapToGrid w:val="0"/>
        <w:spacing w:line="560" w:lineRule="exact"/>
        <w:ind w:firstLineChars="200" w:firstLine="640"/>
        <w:rPr>
          <w:rFonts w:ascii="Times New Roman" w:eastAsia="方正仿宋_GBK" w:cs="Times New Roman" w:hAnsi="Times New Roman" w:hint="eastAsia"/>
          <w:sz w:val="32"/>
          <w:szCs w:val="32"/>
        </w:rPr>
      </w:pPr>
      <w:r>
        <w:rPr>
          <w:rFonts w:ascii="Times New Roman" w:eastAsia="方正仿宋_GBK" w:cs="Times New Roman" w:hAnsi="Times New Roman"/>
          <w:sz w:val="32"/>
          <w:szCs w:val="32"/>
        </w:rPr>
        <w:t>2.</w:t>
      </w:r>
      <w:r>
        <w:rPr>
          <w:rFonts w:ascii="Times New Roman" w:eastAsia="方正仿宋_GBK" w:cs="Times New Roman" w:hAnsi="Times New Roman" w:hint="eastAsia"/>
          <w:sz w:val="32"/>
          <w:szCs w:val="32"/>
        </w:rPr>
        <w:t>企业在哪能查到海关总署负责的行政许可事项目录？</w:t>
      </w:r>
    </w:p>
    <w:p>
      <w:pPr>
        <w:pStyle w:val="22"/>
        <w:autoSpaceDN w:val="0"/>
        <w:adjustRightInd w:val="0"/>
        <w:snapToGrid w:val="0"/>
        <w:spacing w:line="560" w:lineRule="exact"/>
        <w:ind w:firstLineChars="200" w:firstLine="640"/>
        <w:rPr>
          <w:rFonts w:ascii="方正仿宋_GBK" w:eastAsia="方正仿宋_GBK" w:cs="宋体" w:hint="eastAsia"/>
          <w:sz w:val="32"/>
          <w:szCs w:val="32"/>
        </w:rPr>
      </w:pPr>
      <w:r>
        <w:rPr>
          <w:rFonts w:ascii="方正仿宋_GBK" w:eastAsia="方正仿宋_GBK" w:cs="宋体" w:hint="eastAsia"/>
          <w:sz w:val="32"/>
          <w:szCs w:val="32"/>
        </w:rPr>
        <w:t>答：详见海关总署网站或拨打海关“</w:t>
      </w:r>
      <w:r>
        <w:rPr>
          <w:rFonts w:ascii="Times New Roman" w:eastAsia="方正仿宋_GBK" w:cs="Times New Roman" w:hAnsi="Times New Roman"/>
          <w:sz w:val="32"/>
          <w:szCs w:val="32"/>
        </w:rPr>
        <w:t>12360</w:t>
      </w:r>
      <w:r>
        <w:rPr>
          <w:rFonts w:ascii="方正仿宋_GBK" w:eastAsia="方正仿宋_GBK" w:cs="宋体" w:hint="eastAsia"/>
          <w:sz w:val="32"/>
          <w:szCs w:val="32"/>
        </w:rPr>
        <w:t>”热线。</w:t>
      </w:r>
    </w:p>
    <w:p>
      <w:pPr>
        <w:pStyle w:val="22"/>
        <w:autoSpaceDN w:val="0"/>
        <w:adjustRightInd w:val="0"/>
        <w:snapToGrid w:val="0"/>
        <w:spacing w:line="560" w:lineRule="exact"/>
        <w:ind w:firstLineChars="200" w:firstLine="640"/>
        <w:rPr>
          <w:rFonts w:ascii="方正仿宋简体" w:eastAsia="方正仿宋简体" w:hint="eastAsia"/>
          <w:sz w:val="32"/>
          <w:szCs w:val="32"/>
        </w:rPr>
      </w:pPr>
    </w:p>
    <w:p>
      <w:pPr>
        <w:pStyle w:val="22"/>
        <w:autoSpaceDN w:val="0"/>
        <w:adjustRightInd w:val="0"/>
        <w:snapToGrid w:val="0"/>
        <w:spacing w:line="560" w:lineRule="exact"/>
        <w:ind w:firstLineChars="200" w:firstLine="640"/>
        <w:rPr>
          <w:rFonts w:ascii="方正仿宋简体" w:eastAsia="方正仿宋简体" w:hint="eastAsia"/>
          <w:sz w:val="32"/>
          <w:szCs w:val="32"/>
        </w:rPr>
      </w:pPr>
    </w:p>
    <w:p>
      <w:pPr>
        <w:pStyle w:val="22"/>
        <w:autoSpaceDN w:val="0"/>
        <w:adjustRightInd w:val="0"/>
        <w:snapToGrid w:val="0"/>
        <w:spacing w:line="560" w:lineRule="exact"/>
        <w:ind w:firstLineChars="200" w:firstLine="640"/>
        <w:rPr>
          <w:rFonts w:ascii="方正仿宋简体" w:eastAsia="方正仿宋简体" w:hint="eastAsia"/>
          <w:sz w:val="32"/>
          <w:szCs w:val="32"/>
        </w:rPr>
      </w:pPr>
    </w:p>
    <w:p>
      <w:pPr>
        <w:pStyle w:val="22"/>
        <w:autoSpaceDN w:val="0"/>
        <w:spacing w:line="560" w:lineRule="exact"/>
        <w:rPr>
          <w:rFonts w:hint="eastAsia"/>
          <w:szCs w:val="21"/>
        </w:rPr>
      </w:pPr>
    </w:p>
    <w:p>
      <w:pPr>
        <w:spacing w:line="560" w:lineRule="exact"/>
        <w:ind w:rightChars="-501" w:right="-1052" w:firstLineChars="200" w:firstLine="640"/>
        <w:rPr>
          <w:rFonts w:ascii="Times New Roman" w:eastAsia="方正仿宋_GBK" w:cs="Times New Roman" w:hAnsi="Times New Roman"/>
          <w:sz w:val="32"/>
          <w:szCs w:val="32"/>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黑体_GBK">
    <w:altName w:val="微软雅黑"/>
    <w:panose1 w:val="03000509000000000000"/>
    <w:charset w:val="86"/>
    <w:family w:val="script"/>
    <w:pitch w:val="variable"/>
    <w:sig w:usb0="00000000" w:usb1="00000000" w:usb2="00000010" w:usb3="00000000" w:csb0="00040000" w:csb1="00000000"/>
  </w:font>
  <w:font w:name="方正小标宋_GBK">
    <w:altName w:val="微软雅黑"/>
    <w:panose1 w:val="03000509000000000000"/>
    <w:charset w:val="86"/>
    <w:family w:val="script"/>
    <w:pitch w:val="variable"/>
    <w:sig w:usb0="00000000" w:usb1="00000000" w:usb2="00000010" w:usb3="00000000" w:csb0="00040000" w:csb1="00000000"/>
  </w:font>
  <w:font w:name="方正楷体_GBK">
    <w:altName w:val="微软雅黑"/>
    <w:panose1 w:val="03000509000000000000"/>
    <w:charset w:val="86"/>
    <w:family w:val="script"/>
    <w:pitch w:val="variable"/>
    <w:sig w:usb0="00000000" w:usb1="00000000" w:usb2="00000010" w:usb3="00000000" w:csb0="00040000" w:csb1="00000000"/>
  </w:font>
  <w:font w:name="方正仿宋_GBK">
    <w:altName w:val="微软雅黑"/>
    <w:panose1 w:val="03000509000000000000"/>
    <w:charset w:val="86"/>
    <w:family w:val="script"/>
    <w:pitch w:val="variable"/>
    <w:sig w:usb0="00000000" w:usb1="00000000" w:usb2="00000010" w:usb3="00000000" w:csb0="00040000" w:csb1="00000000"/>
  </w:font>
  <w:font w:name="宋体">
    <w:panose1 w:val="02010600030101010101"/>
    <w:charset w:val="86"/>
    <w:family w:val="auto"/>
    <w:pitch w:val="variable"/>
    <w:sig w:usb0="00000003" w:usb1="288F0000" w:usb2="00000006" w:usb3="00000000" w:csb0="00040001" w:csb1="00000000"/>
  </w:font>
  <w:font w:name="方正仿宋简体">
    <w:altName w:val="宋体"/>
    <w:panose1 w:val="00000000000000000000"/>
    <w:charset w:val="00"/>
    <w:family w:val="auto"/>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 w:name="Verdana">
    <w:panose1 w:val="020B0604030504040204"/>
    <w:charset w:val="00"/>
    <w:family w:val="swiss"/>
    <w:pitch w:val="variable"/>
    <w:sig w:usb0="A10006FF" w:usb1="4000205B" w:usb2="00000010"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bestFit" w:percent="92"/>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DI5M2VkYTI5MGVhZGU3ZTdmYmI4YjFhY2ZmZTkwM2U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customStyle="1" w:styleId="18">
    <w:name w:val="Char Char"/>
    <w:basedOn w:val="0"/>
    <w:autoRedefine/>
    <w:pPr>
      <w:widowControl/>
      <w:spacing w:after="160" w:line="240" w:lineRule="exact"/>
      <w:jc w:val="left"/>
    </w:pPr>
    <w:rPr>
      <w:rFonts w:ascii="Verdana" w:eastAsia="宋体" w:cs="Times New Roman" w:hAnsi="Verdana"/>
      <w:kern w:val="0"/>
      <w:sz w:val="18"/>
      <w:szCs w:val="20"/>
      <w:lang w:eastAsia="en-US"/>
    </w:rPr>
  </w:style>
  <w:style w:type="paragraph" w:customStyle="1" w:styleId="19">
    <w:name w:val="Char Char1"/>
    <w:basedOn w:val="0"/>
    <w:autoRedefine/>
    <w:pPr>
      <w:widowControl/>
      <w:spacing w:after="160" w:line="240" w:lineRule="exact"/>
      <w:jc w:val="left"/>
    </w:pPr>
    <w:rPr>
      <w:rFonts w:ascii="Verdana" w:eastAsia="宋体" w:cs="Times New Roman" w:hAnsi="Verdana"/>
      <w:kern w:val="0"/>
      <w:sz w:val="18"/>
      <w:szCs w:val="20"/>
      <w:lang w:eastAsia="en-US"/>
    </w:rPr>
  </w:style>
  <w:style w:type="paragraph" w:customStyle="1" w:styleId="20">
    <w:name w:val="List Paragraph"/>
    <w:basedOn w:val="0"/>
    <w:pPr>
      <w:ind w:firstLineChars="200" w:firstLine="200"/>
    </w:pPr>
  </w:style>
  <w:style w:type="paragraph" w:customStyle="1" w:styleId="21">
    <w:name w:val="Char Char2"/>
    <w:basedOn w:val="0"/>
    <w:autoRedefine/>
    <w:pPr>
      <w:widowControl/>
      <w:spacing w:after="160" w:line="240" w:lineRule="exact"/>
      <w:jc w:val="left"/>
    </w:pPr>
    <w:rPr>
      <w:rFonts w:ascii="Verdana" w:eastAsia="宋体" w:cs="Times New Roman" w:hAnsi="Verdana"/>
      <w:kern w:val="0"/>
      <w:sz w:val="18"/>
      <w:szCs w:val="20"/>
      <w:lang w:eastAsia="en-US"/>
    </w:rPr>
  </w:style>
  <w:style w:type="paragraph" w:customStyle="1" w:styleId="22">
    <w:name w:val="样式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6</TotalTime>
  <Application>Yozo_Office</Application>
  <Pages>4</Pages>
  <Words>1580</Words>
  <Characters>1624</Characters>
  <Lines>92</Lines>
  <Paragraphs>48</Paragraphs>
  <CharactersWithSpaces>1628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zhanghl</dc:creator>
  <cp:lastModifiedBy>范思齐</cp:lastModifiedBy>
  <cp:revision>73</cp:revision>
  <dcterms:created xsi:type="dcterms:W3CDTF">2019-09-05T01:43:00Z</dcterms:created>
  <dcterms:modified xsi:type="dcterms:W3CDTF">2025-06-09T06:19:24Z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2052-12.1.0.16250</vt:lpwstr>
  </property>
  <property fmtid="{D5CDD505-2E9C-101B-9397-08002B2CF9AE}" pid="3" name="ICV">
    <vt:lpwstr>A0BAD4F4BD4C4E288E0AE15E1BD9289F_12</vt:lpwstr>
  </property>
</Properties>
</file>